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38C8D0"/>
          <w:sz w:val="24"/>
        </w:rPr>
        <w:t>LIQUID ASSETS</w:t>
      </w:r>
    </w:p>
    <w:p>
      <w:pPr>
        <w:pStyle w:val="Title"/>
        <w:jc w:val="center"/>
      </w:pPr>
      <w:r>
        <w:t>PAIA MANUAL</w:t>
      </w:r>
    </w:p>
    <w:p>
      <w:pPr>
        <w:jc w:val="center"/>
      </w:pPr>
      <w:r>
        <w:rPr>
          <w:i/>
          <w:color w:val="60777F"/>
          <w:sz w:val="21"/>
        </w:rPr>
        <w:t>Promotion of Access to Information Act 2 of 2000 - private body manual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color="D4E0E0"/>
          <w:left w:val="single" w:sz="4" w:color="D4E0E0"/>
          <w:bottom w:val="single" w:sz="4" w:color="D4E0E0"/>
          <w:right w:val="single" w:sz="4" w:color="D4E0E0"/>
          <w:insideH w:val="single" w:sz="4" w:color="D4E0E0"/>
          <w:insideV w:val="single" w:sz="4" w:color="D4E0E0"/>
        </w:tblBorders>
      </w:tblPr>
      <w:tblGrid>
        <w:gridCol w:w="2541"/>
        <w:gridCol w:w="2541"/>
        <w:gridCol w:w="2541"/>
        <w:gridCol w:w="2541"/>
      </w:tblGrid>
      <w:tr>
        <w:tc>
          <w:tcPr>
            <w:tcW w:type="dxa" w:w="1944"/>
            <w:vAlign w:val="center"/>
            <w:shd w:fill="062B3A"/>
          </w:tcPr>
          <w:p>
            <w:r>
              <w:rPr>
                <w:b/>
                <w:color w:val="FFFFFF"/>
                <w:sz w:val="16"/>
              </w:rPr>
              <w:t>Document owner</w:t>
            </w:r>
          </w:p>
        </w:tc>
        <w:tc>
          <w:tcPr>
            <w:tcW w:type="dxa" w:w="3168"/>
            <w:vAlign w:val="center"/>
          </w:tcPr>
          <w:p>
            <w:r>
              <w:rPr>
                <w:sz w:val="16"/>
              </w:rPr>
              <w:t>Information Officer / Managing Director</w:t>
            </w:r>
          </w:p>
        </w:tc>
        <w:tc>
          <w:tcPr>
            <w:tcW w:type="dxa" w:w="1944"/>
            <w:vAlign w:val="center"/>
            <w:shd w:fill="062B3A"/>
          </w:tcPr>
          <w:p>
            <w:r>
              <w:rPr>
                <w:b/>
                <w:color w:val="FFFFFF"/>
                <w:sz w:val="16"/>
              </w:rPr>
              <w:t>Version</w:t>
            </w:r>
          </w:p>
        </w:tc>
        <w:tc>
          <w:tcPr>
            <w:tcW w:type="dxa" w:w="3168"/>
            <w:vAlign w:val="center"/>
          </w:tcPr>
          <w:p>
            <w:r>
              <w:rPr>
                <w:sz w:val="16"/>
              </w:rPr>
              <w:t>1.0</w:t>
            </w:r>
          </w:p>
        </w:tc>
      </w:tr>
      <w:tr>
        <w:tc>
          <w:tcPr>
            <w:tcW w:type="dxa" w:w="1944"/>
            <w:vAlign w:val="center"/>
            <w:shd w:fill="062B3A"/>
          </w:tcPr>
          <w:p>
            <w:r>
              <w:rPr>
                <w:b/>
                <w:color w:val="FFFFFF"/>
                <w:sz w:val="16"/>
              </w:rPr>
              <w:t>Effective date</w:t>
            </w:r>
          </w:p>
        </w:tc>
        <w:tc>
          <w:tcPr>
            <w:tcW w:type="dxa" w:w="3168"/>
            <w:vAlign w:val="center"/>
          </w:tcPr>
          <w:p>
            <w:r>
              <w:rPr>
                <w:sz w:val="16"/>
              </w:rPr>
              <w:t>[INSERT DATE]</w:t>
            </w:r>
          </w:p>
        </w:tc>
        <w:tc>
          <w:tcPr>
            <w:tcW w:type="dxa" w:w="1944"/>
            <w:vAlign w:val="center"/>
            <w:shd w:fill="062B3A"/>
          </w:tcPr>
          <w:p>
            <w:r>
              <w:rPr>
                <w:b/>
                <w:color w:val="FFFFFF"/>
                <w:sz w:val="16"/>
              </w:rPr>
              <w:t>Review date</w:t>
            </w:r>
          </w:p>
        </w:tc>
        <w:tc>
          <w:tcPr>
            <w:tcW w:type="dxa" w:w="3168"/>
            <w:vAlign w:val="center"/>
          </w:tcPr>
          <w:p>
            <w:r>
              <w:rPr>
                <w:sz w:val="16"/>
              </w:rPr>
              <w:t>[INSERT DATE]</w:t>
            </w:r>
          </w:p>
        </w:tc>
      </w:tr>
    </w:tbl>
    <w:p/>
    <w:p>
      <w:pPr>
        <w:pStyle w:val="Heading1"/>
      </w:pPr>
      <w:r>
        <w:t>1. Private body details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  <w:tblBorders>
          <w:top w:val="single" w:sz="4" w:color="D4E0E0"/>
          <w:left w:val="single" w:sz="4" w:color="D4E0E0"/>
          <w:bottom w:val="single" w:sz="4" w:color="D4E0E0"/>
          <w:right w:val="single" w:sz="4" w:color="D4E0E0"/>
          <w:insideH w:val="single" w:sz="4" w:color="D4E0E0"/>
          <w:insideV w:val="single" w:sz="4" w:color="D4E0E0"/>
        </w:tblBorders>
      </w:tblPr>
      <w:tblGrid>
        <w:gridCol w:w="5083"/>
        <w:gridCol w:w="5083"/>
      </w:tblGrid>
      <w:tr>
        <w:tc>
          <w:tcPr>
            <w:tcW w:type="dxa" w:w="2880"/>
            <w:shd w:fill="062B3A"/>
          </w:tcPr>
          <w:p>
            <w:r>
              <w:rPr>
                <w:b/>
                <w:color w:val="FFFFFF"/>
                <w:sz w:val="16"/>
              </w:rPr>
              <w:t>Field</w:t>
            </w:r>
          </w:p>
        </w:tc>
        <w:tc>
          <w:tcPr>
            <w:tcW w:type="dxa" w:w="6912"/>
            <w:shd w:fill="062B3A"/>
          </w:tcPr>
          <w:p>
            <w:r>
              <w:rPr>
                <w:b/>
                <w:color w:val="FFFFFF"/>
                <w:sz w:val="16"/>
              </w:rPr>
              <w:t>Information</w:t>
            </w:r>
          </w:p>
        </w:tc>
      </w:tr>
      <w:tr>
        <w:tc>
          <w:tcPr>
            <w:tcW w:type="dxa" w:w="2880"/>
            <w:vAlign w:val="top"/>
          </w:tcPr>
          <w:p>
            <w:r>
              <w:t>Registered name</w:t>
            </w:r>
          </w:p>
        </w:tc>
        <w:tc>
          <w:tcPr>
            <w:tcW w:type="dxa" w:w="6912"/>
            <w:vAlign w:val="top"/>
          </w:tcPr>
          <w:p>
            <w:r>
              <w:t>Logic Assets (Pty) Ltd</w:t>
            </w:r>
          </w:p>
        </w:tc>
      </w:tr>
      <w:tr>
        <w:tc>
          <w:tcPr>
            <w:tcW w:type="dxa" w:w="2880"/>
            <w:vAlign w:val="top"/>
          </w:tcPr>
          <w:p>
            <w:r>
              <w:t>Trading name</w:t>
            </w:r>
          </w:p>
        </w:tc>
        <w:tc>
          <w:tcPr>
            <w:tcW w:type="dxa" w:w="6912"/>
            <w:vAlign w:val="top"/>
          </w:tcPr>
          <w:p>
            <w:r>
              <w:t>Liquid Assets Solutions</w:t>
            </w:r>
          </w:p>
        </w:tc>
      </w:tr>
      <w:tr>
        <w:tc>
          <w:tcPr>
            <w:tcW w:type="dxa" w:w="2880"/>
            <w:vAlign w:val="top"/>
          </w:tcPr>
          <w:p>
            <w:r>
              <w:t>Registration number</w:t>
            </w:r>
          </w:p>
        </w:tc>
        <w:tc>
          <w:tcPr>
            <w:tcW w:type="dxa" w:w="6912"/>
            <w:vAlign w:val="top"/>
          </w:tcPr>
          <w:p>
            <w:r>
              <w:t>[INSERT CIPC REGISTRATION NUMBER]</w:t>
            </w:r>
          </w:p>
        </w:tc>
      </w:tr>
      <w:tr>
        <w:tc>
          <w:tcPr>
            <w:tcW w:type="dxa" w:w="2880"/>
            <w:vAlign w:val="top"/>
          </w:tcPr>
          <w:p>
            <w:r>
              <w:t>Physical address</w:t>
            </w:r>
          </w:p>
        </w:tc>
        <w:tc>
          <w:tcPr>
            <w:tcW w:type="dxa" w:w="6912"/>
            <w:vAlign w:val="top"/>
          </w:tcPr>
          <w:p>
            <w:r>
              <w:t>[INSERT PHYSICAL ADDRESS]</w:t>
            </w:r>
          </w:p>
        </w:tc>
      </w:tr>
      <w:tr>
        <w:tc>
          <w:tcPr>
            <w:tcW w:type="dxa" w:w="2880"/>
            <w:vAlign w:val="top"/>
          </w:tcPr>
          <w:p>
            <w:r>
              <w:t>Postal address</w:t>
            </w:r>
          </w:p>
        </w:tc>
        <w:tc>
          <w:tcPr>
            <w:tcW w:type="dxa" w:w="6912"/>
            <w:vAlign w:val="top"/>
          </w:tcPr>
          <w:p>
            <w:r>
              <w:t>[INSERT POSTAL ADDRESS]</w:t>
            </w:r>
          </w:p>
        </w:tc>
      </w:tr>
      <w:tr>
        <w:tc>
          <w:tcPr>
            <w:tcW w:type="dxa" w:w="2880"/>
            <w:vAlign w:val="top"/>
          </w:tcPr>
          <w:p>
            <w:r>
              <w:t>Website</w:t>
            </w:r>
          </w:p>
        </w:tc>
        <w:tc>
          <w:tcPr>
            <w:tcW w:type="dxa" w:w="6912"/>
            <w:vAlign w:val="top"/>
          </w:tcPr>
          <w:p>
            <w:r>
              <w:t>https://www.liquidassets.co.za</w:t>
            </w:r>
          </w:p>
        </w:tc>
      </w:tr>
      <w:tr>
        <w:tc>
          <w:tcPr>
            <w:tcW w:type="dxa" w:w="2880"/>
            <w:vAlign w:val="top"/>
          </w:tcPr>
          <w:p>
            <w:r>
              <w:t>Head / Information Officer</w:t>
            </w:r>
          </w:p>
        </w:tc>
        <w:tc>
          <w:tcPr>
            <w:tcW w:type="dxa" w:w="6912"/>
            <w:vAlign w:val="top"/>
          </w:tcPr>
          <w:p>
            <w:r>
              <w:t>[INSERT REGISTERED INFORMATION OFFICER NAME]</w:t>
            </w:r>
          </w:p>
        </w:tc>
      </w:tr>
      <w:tr>
        <w:tc>
          <w:tcPr>
            <w:tcW w:type="dxa" w:w="2880"/>
            <w:vAlign w:val="top"/>
          </w:tcPr>
          <w:p>
            <w:r>
              <w:t>Email</w:t>
            </w:r>
          </w:p>
        </w:tc>
        <w:tc>
          <w:tcPr>
            <w:tcW w:type="dxa" w:w="6912"/>
            <w:vAlign w:val="top"/>
          </w:tcPr>
          <w:p>
            <w:r>
              <w:t>[INSERT INFORMATION OFFICER EMAIL]</w:t>
            </w:r>
          </w:p>
        </w:tc>
      </w:tr>
      <w:tr>
        <w:tc>
          <w:tcPr>
            <w:tcW w:type="dxa" w:w="2880"/>
            <w:vAlign w:val="top"/>
          </w:tcPr>
          <w:p>
            <w:r>
              <w:t>Telephone</w:t>
            </w:r>
          </w:p>
        </w:tc>
        <w:tc>
          <w:tcPr>
            <w:tcW w:type="dxa" w:w="6912"/>
            <w:vAlign w:val="top"/>
          </w:tcPr>
          <w:p>
            <w:r>
              <w:t>+27 61 581 3928</w:t>
            </w:r>
          </w:p>
        </w:tc>
      </w:tr>
    </w:tbl>
    <w:p>
      <w:pPr>
        <w:pStyle w:val="Heading1"/>
      </w:pPr>
      <w:r>
        <w:t>2. Purpose of this manual</w:t>
      </w:r>
    </w:p>
    <w:p>
      <w:r>
        <w:t>This manual explains the records held by the private body, the records that may be available without a formal request, and the procedure for requesting access under PAIA. It must be completed with accurate organisation-specific information and made publicly available.</w:t>
      </w:r>
    </w:p>
    <w:p>
      <w:pPr>
        <w:pStyle w:val="Heading1"/>
      </w:pPr>
      <w:r>
        <w:t>3. Information Regulator guide</w:t>
      </w:r>
    </w:p>
    <w:p>
      <w:r>
        <w:t>The Information Regulator publishes the official PAIA guide, prescribed forms, fee information and complaint procedures. Requesters should consult the current official material when preparing a request.</w:t>
      </w:r>
    </w:p>
    <w:p>
      <w:pPr>
        <w:pStyle w:val="Heading1"/>
      </w:pPr>
      <w:r>
        <w:t>4. Categories of records held</w:t>
      </w:r>
    </w:p>
    <w:p>
      <w:pPr>
        <w:pStyle w:val="ListBullet"/>
      </w:pPr>
      <w:r>
        <w:t>Company registration, governance, policies, statutory and regulatory records.</w:t>
      </w:r>
    </w:p>
    <w:p>
      <w:pPr>
        <w:pStyle w:val="ListBullet"/>
      </w:pPr>
      <w:r>
        <w:t>Financial, accounting, tax, banking, insurance, invoice, payment and audit records.</w:t>
      </w:r>
    </w:p>
    <w:p>
      <w:pPr>
        <w:pStyle w:val="ListBullet"/>
      </w:pPr>
      <w:r>
        <w:t>Customer, supplier, procurement, quotation, purchase-order, delivery and contract records.</w:t>
      </w:r>
    </w:p>
    <w:p>
      <w:pPr>
        <w:pStyle w:val="ListBullet"/>
      </w:pPr>
      <w:r>
        <w:t>IT workforce, candidate, assessment, verification, placement, onboarding and personnel records.</w:t>
      </w:r>
    </w:p>
    <w:p>
      <w:pPr>
        <w:pStyle w:val="ListBullet"/>
      </w:pPr>
      <w:r>
        <w:t>Technology project, architecture, source-control, licence, support, incident and service-management records.</w:t>
      </w:r>
    </w:p>
    <w:p>
      <w:pPr>
        <w:pStyle w:val="ListBullet"/>
      </w:pPr>
      <w:r>
        <w:t>Website, marketing, enquiry, consent, privacy, analytics and communication records.</w:t>
      </w:r>
    </w:p>
    <w:p>
      <w:pPr>
        <w:pStyle w:val="ListBullet"/>
      </w:pPr>
      <w:r>
        <w:t>Information-security, audit-log, access-control, incident-response, backup and continuity records.</w:t>
      </w:r>
    </w:p>
    <w:p>
      <w:pPr>
        <w:pStyle w:val="ListBullet"/>
      </w:pPr>
      <w:r>
        <w:t>Intellectual-property, proposals, methodologies, templates and internal operational records.</w:t>
      </w:r>
    </w:p>
    <w:p>
      <w:pPr>
        <w:pStyle w:val="Heading1"/>
      </w:pPr>
      <w:r>
        <w:t>5. Records automatically available</w:t>
      </w:r>
    </w:p>
    <w:p>
      <w:pPr>
        <w:pStyle w:val="ListBullet"/>
      </w:pPr>
      <w:r>
        <w:t>Public website content and public capability information.</w:t>
      </w:r>
    </w:p>
    <w:p>
      <w:pPr>
        <w:pStyle w:val="ListBullet"/>
      </w:pPr>
      <w:r>
        <w:t>Published Privacy Notice, Cookie Policy and Website Terms.</w:t>
      </w:r>
    </w:p>
    <w:p>
      <w:pPr>
        <w:pStyle w:val="ListBullet"/>
      </w:pPr>
      <w:r>
        <w:t>This PAIA Manual and public contact information.</w:t>
      </w:r>
    </w:p>
    <w:p>
      <w:pPr>
        <w:pStyle w:val="ListBullet"/>
      </w:pPr>
      <w:r>
        <w:t>Records expressly designated as automatically available by the organisation.</w:t>
      </w:r>
    </w:p>
    <w:p>
      <w:pPr>
        <w:pStyle w:val="Heading1"/>
      </w:pPr>
      <w:r>
        <w:t>6. Request procedure</w:t>
      </w:r>
    </w:p>
    <w:p>
      <w:pPr>
        <w:pStyle w:val="ListNumber"/>
      </w:pPr>
      <w:r>
        <w:t>Use the prescribed PAIA request form or the website privacy and access form.</w:t>
      </w:r>
    </w:p>
    <w:p>
      <w:pPr>
        <w:pStyle w:val="ListNumber"/>
      </w:pPr>
      <w:r>
        <w:t>Identify the requester and any person represented.</w:t>
      </w:r>
    </w:p>
    <w:p>
      <w:pPr>
        <w:pStyle w:val="ListNumber"/>
      </w:pPr>
      <w:r>
        <w:t>Describe the requested records sufficiently for them to be located.</w:t>
      </w:r>
    </w:p>
    <w:p>
      <w:pPr>
        <w:pStyle w:val="ListNumber"/>
      </w:pPr>
      <w:r>
        <w:t>State the preferred form of access and contact details.</w:t>
      </w:r>
    </w:p>
    <w:p>
      <w:pPr>
        <w:pStyle w:val="ListNumber"/>
      </w:pPr>
      <w:r>
        <w:t>Explain the right to be exercised or protected where required.</w:t>
      </w:r>
    </w:p>
    <w:p>
      <w:pPr>
        <w:pStyle w:val="ListNumber"/>
      </w:pPr>
      <w:r>
        <w:t>Provide proof of identity and authority when requested.</w:t>
      </w:r>
    </w:p>
    <w:p>
      <w:pPr>
        <w:pStyle w:val="ListNumber"/>
      </w:pPr>
      <w:r>
        <w:t>Pay any prescribed fee after notification.</w:t>
      </w:r>
    </w:p>
    <w:p>
      <w:pPr>
        <w:pStyle w:val="Heading1"/>
      </w:pPr>
      <w:r>
        <w:t>7. Grounds for refusal and severability</w:t>
      </w:r>
    </w:p>
    <w:p>
      <w:r>
        <w:t>Access may be refused or limited where PAIA protects personal privacy, commercial confidentiality, confidential third-party information, safety, legal privilege, research, intellectual property, security or another recognised interest. Where lawful and practical, non-protected portions should be severed and disclosed.</w:t>
      </w:r>
    </w:p>
    <w:p>
      <w:pPr>
        <w:pStyle w:val="Heading1"/>
      </w:pPr>
      <w:r>
        <w:t>8. Decision, fees and remedies</w:t>
      </w:r>
    </w:p>
    <w:p>
      <w:r>
        <w:t>The Information Officer must record the decision and reasons, applicable fees, form of access and available remedies. A requester may use the complaint and court remedies available under PAIA where a request is refused, partially granted or not answered within the applicable period.</w:t>
      </w:r>
    </w:p>
    <w:p>
      <w:pPr>
        <w:pStyle w:val="Heading1"/>
      </w:pPr>
      <w:r>
        <w:t>9. Availability and maintenance</w:t>
      </w:r>
    </w:p>
    <w:p>
      <w:r>
        <w:t>The approved manual must be available on the organisation website and from the Information Officer. It must be reviewed when record categories, organisational details or legal requirements materially change.</w:t>
      </w:r>
    </w:p>
    <w:p>
      <w:r>
        <w:br w:type="page"/>
      </w:r>
    </w:p>
    <w:p>
      <w:pPr>
        <w:pStyle w:val="Heading1"/>
      </w:pPr>
      <w:r>
        <w:t>Approval and sign-off</w:t>
      </w:r>
    </w:p>
    <w:p>
      <w:r>
        <w:t>By signing, the parties confirm that this document has been reviewed, completed with accurate organisational details and approved for operational use.</w:t>
      </w:r>
    </w:p>
    <w:tbl>
      <w:tblPr>
        <w:tblStyle w:val="TableGrid"/>
        <w:tblW w:type="auto" w:w="0"/>
        <w:tblLook w:firstColumn="1" w:firstRow="1" w:lastColumn="0" w:lastRow="0" w:noHBand="0" w:noVBand="1" w:val="04A0"/>
        <w:jc w:val="center"/>
        <w:tblBorders>
          <w:top w:val="single" w:sz="4" w:color="D4E0E0"/>
          <w:left w:val="single" w:sz="4" w:color="D4E0E0"/>
          <w:bottom w:val="single" w:sz="4" w:color="D4E0E0"/>
          <w:right w:val="single" w:sz="4" w:color="D4E0E0"/>
          <w:insideH w:val="single" w:sz="4" w:color="D4E0E0"/>
          <w:insideV w:val="single" w:sz="4" w:color="D4E0E0"/>
        </w:tblBorders>
      </w:tblPr>
      <w:tblGrid>
        <w:gridCol w:w="5083"/>
        <w:gridCol w:w="5083"/>
      </w:tblGrid>
      <w:tr>
        <w:tc>
          <w:tcPr>
            <w:tcW w:type="dxa" w:w="5083"/>
            <w:shd w:fill="EDF4F3"/>
          </w:tcPr>
          <w:p>
            <w:r>
              <w:t>Role</w:t>
            </w:r>
          </w:p>
        </w:tc>
        <w:tc>
          <w:tcPr>
            <w:tcW w:type="dxa" w:w="5083"/>
          </w:tcPr>
          <w:p>
            <w:r>
              <w:t>Head of private body / Information Officer</w:t>
            </w:r>
          </w:p>
        </w:tc>
      </w:tr>
      <w:tr>
        <w:tc>
          <w:tcPr>
            <w:tcW w:type="dxa" w:w="5083"/>
            <w:shd w:fill="EDF4F3"/>
          </w:tcPr>
          <w:p>
            <w:r>
              <w:t>Name</w:t>
            </w:r>
          </w:p>
        </w:tc>
        <w:tc>
          <w:tcPr>
            <w:tcW w:type="dxa" w:w="5083"/>
          </w:tcPr>
          <w:p>
            <w:r/>
          </w:p>
        </w:tc>
      </w:tr>
      <w:tr>
        <w:tc>
          <w:tcPr>
            <w:tcW w:type="dxa" w:w="5083"/>
            <w:shd w:fill="EDF4F3"/>
          </w:tcPr>
          <w:p>
            <w:r>
              <w:t>Signature</w:t>
            </w:r>
          </w:p>
        </w:tc>
        <w:tc>
          <w:tcPr>
            <w:tcW w:type="dxa" w:w="5083"/>
          </w:tcPr>
          <w:p>
            <w:r/>
          </w:p>
        </w:tc>
      </w:tr>
      <w:tr>
        <w:tc>
          <w:tcPr>
            <w:tcW w:type="dxa" w:w="5083"/>
            <w:shd w:fill="EDF4F3"/>
          </w:tcPr>
          <w:p>
            <w:r>
              <w:t>Date</w:t>
            </w:r>
          </w:p>
        </w:tc>
        <w:tc>
          <w:tcPr>
            <w:tcW w:type="dxa" w:w="5083"/>
          </w:tcPr>
          <w:p>
            <w:r/>
          </w:p>
        </w:tc>
      </w:tr>
    </w:tbl>
    <w:p/>
    <w:tbl>
      <w:tblPr>
        <w:tblStyle w:val="TableGrid"/>
        <w:tblW w:type="auto" w:w="0"/>
        <w:tblLook w:firstColumn="1" w:firstRow="1" w:lastColumn="0" w:lastRow="0" w:noHBand="0" w:noVBand="1" w:val="04A0"/>
        <w:jc w:val="center"/>
        <w:tblBorders>
          <w:top w:val="single" w:sz="4" w:color="D4E0E0"/>
          <w:left w:val="single" w:sz="4" w:color="D4E0E0"/>
          <w:bottom w:val="single" w:sz="4" w:color="D4E0E0"/>
          <w:right w:val="single" w:sz="4" w:color="D4E0E0"/>
          <w:insideH w:val="single" w:sz="4" w:color="D4E0E0"/>
          <w:insideV w:val="single" w:sz="4" w:color="D4E0E0"/>
        </w:tblBorders>
      </w:tblPr>
      <w:tblGrid>
        <w:gridCol w:w="5083"/>
        <w:gridCol w:w="5083"/>
      </w:tblGrid>
      <w:tr>
        <w:tc>
          <w:tcPr>
            <w:tcW w:type="dxa" w:w="5083"/>
            <w:shd w:fill="EDF4F3"/>
          </w:tcPr>
          <w:p>
            <w:r>
              <w:t>Role</w:t>
            </w:r>
          </w:p>
        </w:tc>
        <w:tc>
          <w:tcPr>
            <w:tcW w:type="dxa" w:w="5083"/>
          </w:tcPr>
          <w:p>
            <w:r>
              <w:t>Legal reviewer</w:t>
            </w:r>
          </w:p>
        </w:tc>
      </w:tr>
      <w:tr>
        <w:tc>
          <w:tcPr>
            <w:tcW w:type="dxa" w:w="5083"/>
            <w:shd w:fill="EDF4F3"/>
          </w:tcPr>
          <w:p>
            <w:r>
              <w:t>Name</w:t>
            </w:r>
          </w:p>
        </w:tc>
        <w:tc>
          <w:tcPr>
            <w:tcW w:type="dxa" w:w="5083"/>
          </w:tcPr>
          <w:p>
            <w:r/>
          </w:p>
        </w:tc>
      </w:tr>
      <w:tr>
        <w:tc>
          <w:tcPr>
            <w:tcW w:type="dxa" w:w="5083"/>
            <w:shd w:fill="EDF4F3"/>
          </w:tcPr>
          <w:p>
            <w:r>
              <w:t>Signature</w:t>
            </w:r>
          </w:p>
        </w:tc>
        <w:tc>
          <w:tcPr>
            <w:tcW w:type="dxa" w:w="5083"/>
          </w:tcPr>
          <w:p>
            <w:r/>
          </w:p>
        </w:tc>
      </w:tr>
      <w:tr>
        <w:tc>
          <w:tcPr>
            <w:tcW w:type="dxa" w:w="5083"/>
            <w:shd w:fill="EDF4F3"/>
          </w:tcPr>
          <w:p>
            <w:r>
              <w:t>Date</w:t>
            </w:r>
          </w:p>
        </w:tc>
        <w:tc>
          <w:tcPr>
            <w:tcW w:type="dxa" w:w="5083"/>
          </w:tcPr>
          <w:p>
            <w:r/>
          </w:p>
        </w:tc>
      </w:tr>
    </w:tbl>
    <w:p/>
    <w:sectPr w:rsidR="00FC693F" w:rsidRPr="0006063C" w:rsidSect="00034616">
      <w:headerReference w:type="default" r:id="rId9"/>
      <w:footerReference w:type="default" r:id="rId10"/>
      <w:pgSz w:w="12240" w:h="15840"/>
      <w:pgMar w:top="936" w:right="1037" w:bottom="936" w:left="103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0777F"/>
        <w:sz w:val="15"/>
      </w:rPr>
      <w:t xml:space="preserve">Logic Assets (Pty) Ltd  |  Controlled document  |  </w:t>
    </w:r>
    <w:fldSimple w:instr="PAGE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b/>
        <w:color w:val="38C8D0"/>
        <w:sz w:val="15"/>
      </w:rPr>
      <w:t>LIQUID ASSETS SOLUTIONS  /  GOVERNANCE DOCUMENT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10" w:line="259" w:lineRule="auto"/>
    </w:pPr>
    <w:rPr>
      <w:rFonts w:ascii="Aptos" w:hAnsi="Aptos"/>
      <w:color w:val="263D45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80" w:after="8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062B3A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80" w:after="8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38C8D0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80" w:after="80"/>
      <w:outlineLvl w:val="2"/>
    </w:pPr>
    <w:rPr>
      <w:rFonts w:asciiTheme="majorHAnsi" w:eastAsiaTheme="majorEastAsia" w:hAnsiTheme="majorHAnsi" w:cstheme="majorBidi" w:ascii="Aptos Display" w:hAnsi="Aptos Display"/>
      <w:b/>
      <w:bCs/>
      <w:color w:val="C69C4A"/>
      <w:sz w:val="2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80"/>
      <w:contextualSpacing/>
    </w:pPr>
    <w:rPr>
      <w:rFonts w:asciiTheme="majorHAnsi" w:eastAsiaTheme="majorEastAsia" w:hAnsiTheme="majorHAnsi" w:cstheme="majorBidi" w:ascii="Aptos Display" w:hAnsi="Aptos Display"/>
      <w:b/>
      <w:color w:val="062B3A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